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512" w:rsidRDefault="00EA7512" w:rsidP="00EA7512">
      <w:pPr>
        <w:spacing w:line="60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附件2：</w:t>
      </w:r>
    </w:p>
    <w:p w:rsidR="00EA7512" w:rsidRDefault="00EA7512" w:rsidP="00EA7512">
      <w:pPr>
        <w:spacing w:line="600" w:lineRule="exact"/>
        <w:jc w:val="center"/>
        <w:rPr>
          <w:rFonts w:ascii="黑体" w:eastAsia="黑体" w:hAnsi="黑体"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sz w:val="36"/>
          <w:szCs w:val="36"/>
        </w:rPr>
        <w:t>郴州农村商业银行股份有限公司</w:t>
      </w:r>
    </w:p>
    <w:p w:rsidR="00EA7512" w:rsidRDefault="00EA7512" w:rsidP="00EA7512">
      <w:pPr>
        <w:spacing w:line="60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hint="eastAsia"/>
          <w:sz w:val="36"/>
          <w:szCs w:val="36"/>
        </w:rPr>
        <w:t>2020年招聘员工报考专业参考目录</w:t>
      </w:r>
      <w:bookmarkEnd w:id="0"/>
    </w:p>
    <w:p w:rsidR="00EA7512" w:rsidRDefault="00EA7512" w:rsidP="00EA7512">
      <w:pPr>
        <w:spacing w:line="600" w:lineRule="exact"/>
        <w:ind w:leftChars="304" w:left="1598" w:hangingChars="300" w:hanging="96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一、研究生学历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经济金融类：产业经济学、经济学、经济统计学、数量经济学、国际经济与贸易、世界经济、贸易经济、国民经济管理、区域经济学、应用经济学、财政学、商务经济学、信用管理、国际贸易学、投资管理、金融学、金融工程学、货币银行学、保险学、投资学、公司理财(公司金融)、金融数学、经济与金融、数理金融学、应用金融、国际银行与金融、金融管理、金融与管理、金融市场、管理学金融方向、国际金融公司与银行、金融硕士、国际商务硕士、政治经济学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财务会计类：会计学、财务管理、审计学、财务会计教育、金融与会计、资产评估、会计与金融、会计硕士等。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法学类：法学、法律、法律硕士、经济法、国际法、民商法、民商法学、诉讼法学、经济法学、国际法学、诉讼法、法学理论、宪法学与行政法学、刑法学等。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计算机类：电子信息工程、电子科学与技术、通信工程、微电子科学与工程、光电信息科学与工程、信息工程、电信工程及管理、计算机科学与技术、软件工程、网络工程、信息安全、物联网工程、智能科学与技术、电子与计算机工程、模式识别和智能系统、计算机应用技术、计算机系统结构、计算机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软件与理论、信息管理与信息系统、微电子学与固体电子学、电子与通信工程、通信与信息系统、信号与信息处理、计算机技术、信息与通信工程等。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管理学类：管理科学与工程、农业经济管理、林业经济管理、企业管理、行政管理、管理科学、工程管理、工程管理硕士、工程造价、工商管理、工商管理硕士、公共管理、公共管理硕士、市场营销、人力资源管理、土地资源管理、农林经济管理、农村区域发展、劳动与社会保障、劳动关系、市场营销教育、社会保障、农村与区域发展、市场营销学、图书情报与档案管理、档案学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理学类:应用数学、应用统计、统计学、统计学硕士、基础数学、计算数学、概率论与数理统计、运筹学与控制论等。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土木工程与建筑学类：土木工程、岩土工程、结构工程、市政工程、城乡规划学、建筑学、建筑学硕士、建筑与土木工程、建筑设计及其理论、土木工程规划与管理、城市规划与设计等。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文学类：文艺学、中国语言文学、语言学及应用语言学、汉语言文字学、中国古代文学、中国当代文学、中国现当代文学、比较文学与世界文学、新闻学、传播学、新闻传播学、新闻与传播、新闻与传播硕士等。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二、大学本科学历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经济金融类:经济学、经济统计学、金融学、金融工程、保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险学、保险、投资学、国际经济与贸易、贸易经济、国民经济管理、商务经济学、金融数学、经济与金融、信用管理、财政学、税收学、税务等。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财务会计类:会计学、会计（国际）、财务管理、财务会计教育、资产评估、会计电算化、企业财务管理等。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法学类:法学等。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计算机类:电子信息工程、电子信息与工程、电子信息工程(金融电子技术)、电子科学与技术、通信工程、微电子科学与工程、光电信息科学与工程、信息工程、电信工程及管理、计算机科学与技术、软件工程、网络工程、信息安全、物联网工程、智能科学与技术、电子与计算机工程、电子信息科学与技术、计算机应用、计算机应用技术、软件开发与项目管理、信息与通信工程、信息科学技术、计算机软件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管理学类:管理科学、信息管理与信息系统、工程管理、工程造价、工商管理、物流管理、旅游管理、市场营销、人力资源管理、审计学、农林经济管理、农村区域发展、劳动与社会保障、劳动关系、市场营销教育、金融管理、资源环境与城乡规划管理、公共关系学、电子商务及法律、行政管理、公共事业管理、档案学、图书管理学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理学类:信息与计算科学、统计学、应用统计学、数学与应用数学等。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土木工程与建筑类：土木工程、建筑环境与能源应用工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程、给排水科学与工程、建筑电气与智能化、建筑学、城乡规划、城市规划、建筑工程、建筑环境与设备工程、道路桥梁工程、城市地下工程、给水排水工程等。</w:t>
      </w:r>
    </w:p>
    <w:p w:rsidR="00EA7512" w:rsidRDefault="00EA7512" w:rsidP="00EA751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文学类：汉语言文学、汉语言、应用语言学、秘书学、文秘学、新闻学、广告学、传播学、网络与新媒体、广播电视新闻学、广播电视学等。</w:t>
      </w:r>
    </w:p>
    <w:p w:rsidR="00EA7512" w:rsidRDefault="00EA7512" w:rsidP="00EA7512">
      <w:pPr>
        <w:pStyle w:val="a3"/>
        <w:ind w:left="0"/>
        <w:rPr>
          <w:sz w:val="30"/>
          <w:szCs w:val="30"/>
        </w:rPr>
      </w:pPr>
    </w:p>
    <w:p w:rsidR="00EA7512" w:rsidRPr="0014065E" w:rsidRDefault="00EA7512" w:rsidP="00EA7512"/>
    <w:p w:rsidR="00F17FBE" w:rsidRDefault="00F17FBE"/>
    <w:sectPr w:rsidR="00F17FBE">
      <w:footerReference w:type="default" r:id="rId4"/>
      <w:footerReference w:type="first" r:id="rId5"/>
      <w:pgSz w:w="11906" w:h="16838"/>
      <w:pgMar w:top="1871" w:right="1474" w:bottom="1757" w:left="1587" w:header="851" w:footer="992" w:gutter="0"/>
      <w:pgNumType w:fmt="numberInDash"/>
      <w:cols w:space="720"/>
      <w:titlePg/>
      <w:docGrid w:type="lines" w:linePitch="3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79A" w:rsidRDefault="00EA751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0AF7CCB" wp14:editId="275357CE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77495" cy="162560"/>
              <wp:effectExtent l="0" t="0" r="635" b="1905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749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5579A" w:rsidRDefault="00EA7512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Pr="00EA7512">
                            <w:rPr>
                              <w:noProof/>
                            </w:rPr>
                            <w:t>- 3 -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AF7CCB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-29.35pt;margin-top:0;width:21.85pt;height:12.8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" filled="f" stroked="f">
              <v:textbox style="mso-fit-shape-to-text:t" inset="0,0,0,0">
                <w:txbxContent>
                  <w:p w:rsidR="0095579A" w:rsidRDefault="00EA7512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Pr="00EA7512">
                      <w:rPr>
                        <w:noProof/>
                      </w:rPr>
                      <w:t>- 3 -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79A" w:rsidRDefault="00EA751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5C4E6E" wp14:editId="4739AE9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09550" cy="162560"/>
              <wp:effectExtent l="1905" t="0" r="0" b="1905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5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5579A" w:rsidRDefault="00EA7512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Pr="00EA7512"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5C4E6E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-34.7pt;margin-top:0;width:16.5pt;height:12.8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" filled="f" stroked="f">
              <v:textbox style="mso-fit-shape-to-text:t" inset="0,0,0,0">
                <w:txbxContent>
                  <w:p w:rsidR="0095579A" w:rsidRDefault="00EA7512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Pr="00EA7512"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512"/>
    <w:rsid w:val="00EA7512"/>
    <w:rsid w:val="00F1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88B43D-6DD3-48E6-8EB2-0A1A1207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7512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EA7512"/>
    <w:pPr>
      <w:spacing w:before="6"/>
      <w:ind w:left="1758"/>
    </w:pPr>
    <w:rPr>
      <w:rFonts w:ascii="Arial Unicode MS" w:hAnsi="Arial Unicode MS" w:cs="Times New Roman"/>
      <w:sz w:val="19"/>
      <w:szCs w:val="19"/>
    </w:rPr>
  </w:style>
  <w:style w:type="character" w:customStyle="1" w:styleId="Char">
    <w:name w:val="正文文本 Char"/>
    <w:basedOn w:val="a0"/>
    <w:link w:val="a3"/>
    <w:rsid w:val="00EA7512"/>
    <w:rPr>
      <w:rFonts w:ascii="Arial Unicode MS" w:eastAsia="宋体" w:hAnsi="Arial Unicode MS" w:cs="Times New Roman"/>
      <w:sz w:val="19"/>
      <w:szCs w:val="19"/>
    </w:rPr>
  </w:style>
  <w:style w:type="paragraph" w:styleId="a4">
    <w:name w:val="footer"/>
    <w:basedOn w:val="a"/>
    <w:link w:val="Char0"/>
    <w:qFormat/>
    <w:rsid w:val="00EA751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EA7512"/>
    <w:rPr>
      <w:rFonts w:ascii="Calibri" w:eastAsia="宋体" w:hAnsi="Calibri" w:cs="黑体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248</Words>
  <Characters>1416</Characters>
  <Application>Microsoft Office Word</Application>
  <DocSecurity>0</DocSecurity>
  <Lines>11</Lines>
  <Paragraphs>3</Paragraphs>
  <ScaleCrop>false</ScaleCrop>
  <Company>Microsoft</Company>
  <LinksUpToDate>false</LinksUpToDate>
  <CharactersWithSpaces>1661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2020-03-18T03:39:00Z</dcterms:created>
  <dcterms:modified xsi:type="dcterms:W3CDTF">2020-03-18T03:40:00Z</dcterms:modified>
</cp:coreProperties>
</file>